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rPr>
          <w:rFonts w:hint="default" w:eastAsia="宋体"/>
          <w:sz w:val="24"/>
          <w:szCs w:val="24"/>
          <w:lang w:val="en-US" w:eastAsia="zh-CN"/>
        </w:rPr>
      </w:pPr>
      <w:r>
        <w:rPr>
          <w:rFonts w:ascii="Arial" w:hAnsi="Arial"/>
          <w:b/>
          <w:sz w:val="24"/>
          <w:szCs w:val="24"/>
          <w:lang w:eastAsia="ja-JP"/>
        </w:rPr>
        <w:t>3GPP TSG- SA1 Meeting # 107</w:t>
      </w:r>
      <w:r>
        <w:rPr>
          <w:rFonts w:ascii="Arial" w:hAnsi="Arial"/>
          <w:b/>
          <w:sz w:val="24"/>
          <w:szCs w:val="24"/>
          <w:lang w:eastAsia="ja-JP"/>
        </w:rPr>
        <w:tab/>
      </w:r>
      <w:r>
        <w:rPr>
          <w:rFonts w:ascii="Arial" w:hAnsi="Arial"/>
          <w:b/>
          <w:sz w:val="24"/>
          <w:szCs w:val="24"/>
          <w:lang w:eastAsia="ja-JP"/>
        </w:rPr>
        <w:t>S1-24</w:t>
      </w:r>
      <w:del w:id="0" w:author="CMCC01" w:date="2024-08-22T19:30:31Z">
        <w:r>
          <w:rPr>
            <w:rFonts w:hint="default" w:ascii="Arial" w:hAnsi="Arial" w:eastAsia="宋体"/>
            <w:b/>
            <w:sz w:val="24"/>
            <w:szCs w:val="24"/>
            <w:lang w:val="en-US" w:eastAsia="zh-CN"/>
          </w:rPr>
          <w:delText>2216</w:delText>
        </w:r>
      </w:del>
      <w:ins w:id="1" w:author="CMCC01" w:date="2024-08-22T19:30:31Z">
        <w:r>
          <w:rPr>
            <w:rFonts w:hint="eastAsia" w:ascii="Arial" w:hAnsi="Arial" w:eastAsia="宋体"/>
            <w:b/>
            <w:sz w:val="24"/>
            <w:szCs w:val="24"/>
            <w:lang w:val="en-US" w:eastAsia="zh-CN"/>
          </w:rPr>
          <w:t>248</w:t>
        </w:r>
      </w:ins>
      <w:ins w:id="2" w:author="CMCC01" w:date="2024-08-22T19:30:32Z">
        <w:r>
          <w:rPr>
            <w:rFonts w:hint="eastAsia" w:ascii="Arial" w:hAnsi="Arial" w:eastAsia="宋体"/>
            <w:b/>
            <w:sz w:val="24"/>
            <w:szCs w:val="24"/>
            <w:lang w:val="en-US" w:eastAsia="zh-CN"/>
          </w:rPr>
          <w:t>9</w:t>
        </w:r>
      </w:ins>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szCs w:val="24"/>
          <w:lang w:eastAsia="ja-JP"/>
        </w:rPr>
        <w:t>Maastricht, The Netherlands, 19-23 August 2024</w:t>
      </w:r>
      <w:r>
        <w:tab/>
      </w:r>
      <w:r>
        <w:rPr>
          <w:rFonts w:ascii="Arial" w:hAnsi="Arial" w:eastAsia="Batang" w:cs="Arial"/>
          <w:b/>
          <w:lang w:eastAsia="zh-CN"/>
        </w:rPr>
        <w:t>(revision of S1-24</w:t>
      </w:r>
      <w:del w:id="3" w:author="CMCC01" w:date="2024-08-22T19:30:35Z">
        <w:r>
          <w:rPr>
            <w:rFonts w:hint="default" w:ascii="Arial" w:hAnsi="Arial" w:eastAsia="Batang" w:cs="Arial"/>
            <w:b/>
            <w:lang w:val="en-US" w:eastAsia="zh-CN"/>
          </w:rPr>
          <w:delText>xxxx</w:delText>
        </w:r>
      </w:del>
      <w:ins w:id="4" w:author="CMCC01" w:date="2024-08-22T19:30:35Z">
        <w:r>
          <w:rPr>
            <w:rFonts w:hint="eastAsia" w:ascii="Arial" w:hAnsi="Arial" w:eastAsia="Batang" w:cs="Arial"/>
            <w:b/>
            <w:lang w:val="en-US" w:eastAsia="zh-CN"/>
          </w:rPr>
          <w:t>221</w:t>
        </w:r>
      </w:ins>
      <w:ins w:id="5" w:author="CMCC01" w:date="2024-08-22T19:30:36Z">
        <w:r>
          <w:rPr>
            <w:rFonts w:hint="eastAsia" w:ascii="Arial" w:hAnsi="Arial" w:eastAsia="Batang" w:cs="Arial"/>
            <w:b/>
            <w:lang w:val="en-US" w:eastAsia="zh-CN"/>
          </w:rPr>
          <w:t>6</w:t>
        </w:r>
      </w:ins>
      <w:r>
        <w:rPr>
          <w:rFonts w:ascii="Arial" w:hAnsi="Arial" w:eastAsia="Batang" w:cs="Arial"/>
          <w:b/>
          <w:lang w:eastAsia="zh-CN"/>
        </w:rPr>
        <w:t>)</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China Mobile </w:t>
      </w:r>
    </w:p>
    <w:p>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val="en-US" w:eastAsia="zh-CN"/>
        </w:rPr>
        <w:t xml:space="preserve">enhancement on VN information and capability exposure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jc w:val="left"/>
        <w:textAlignment w:val="baseline"/>
        <w:rPr>
          <w:rFonts w:hint="default" w:ascii="Arial" w:hAnsi="Arial" w:eastAsia="Times New Roman" w:cs="Times New Roman"/>
          <w:color w:val="auto"/>
          <w:sz w:val="36"/>
          <w:szCs w:val="20"/>
          <w:lang w:val="en-US" w:eastAsia="ja-JP"/>
        </w:rPr>
        <w:pPrChange w:id="6" w:author="CMCC01" w:date="2024-08-20T19:51:50Z">
          <w:pPr>
            <w:pStyle w:val="7"/>
            <w:pBdr>
              <w:top w:val="single" w:color="auto" w:sz="12" w:space="3"/>
            </w:pBdr>
            <w:overflowPunct w:val="0"/>
            <w:autoSpaceDE w:val="0"/>
            <w:autoSpaceDN w:val="0"/>
            <w:adjustRightInd w:val="0"/>
            <w:spacing w:before="240" w:after="180"/>
            <w:ind w:left="2835" w:hanging="2835"/>
            <w:textAlignment w:val="baseline"/>
          </w:pPr>
        </w:pPrChange>
      </w:pPr>
      <w:r>
        <w:rPr>
          <w:rFonts w:ascii="Arial" w:hAnsi="Arial" w:eastAsia="Times New Roman" w:cs="Times New Roman"/>
          <w:color w:val="auto"/>
          <w:sz w:val="36"/>
          <w:szCs w:val="20"/>
          <w:lang w:eastAsia="ja-JP"/>
        </w:rPr>
        <w:t>Title:</w:t>
      </w:r>
      <w:r>
        <w:rPr>
          <w:rFonts w:hint="eastAsia" w:ascii="Arial" w:hAnsi="Arial" w:eastAsia="宋体" w:cs="Times New Roman"/>
          <w:color w:val="auto"/>
          <w:sz w:val="36"/>
          <w:szCs w:val="20"/>
          <w:lang w:val="en-US" w:eastAsia="zh-CN"/>
        </w:rPr>
        <w:t xml:space="preserve"> </w:t>
      </w:r>
      <w:ins w:id="7" w:author="CMCC01" w:date="2024-08-20T19:51:41Z">
        <w:r>
          <w:rPr>
            <w:rFonts w:hint="eastAsia" w:ascii="Arial" w:hAnsi="Arial" w:eastAsia="宋体" w:cs="Times New Roman"/>
            <w:color w:val="auto"/>
            <w:sz w:val="36"/>
            <w:szCs w:val="20"/>
            <w:lang w:val="en-US" w:eastAsia="zh-CN"/>
          </w:rPr>
          <w:t>New WID on enhancement on VN information and capability exposure</w:t>
        </w:r>
      </w:ins>
      <w:del w:id="8" w:author="CMCC01" w:date="2024-08-20T19:51:41Z">
        <w:r>
          <w:rPr>
            <w:rFonts w:hint="eastAsia" w:ascii="Arial" w:hAnsi="Arial" w:eastAsia="宋体" w:cs="Times New Roman"/>
            <w:color w:val="auto"/>
            <w:sz w:val="36"/>
            <w:szCs w:val="20"/>
            <w:lang w:val="en-US" w:eastAsia="zh-CN"/>
          </w:rPr>
          <w:delText>Enhancement on VN exposure</w:delText>
        </w:r>
      </w:del>
    </w:p>
    <w:p>
      <w:pPr>
        <w:pStyle w:val="23"/>
      </w:pPr>
      <w:r>
        <w:t>{Free text. It has to be the same as in the "Title:" section above. Studies have to start by "Study on"}</w:t>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
      <w:r>
        <w:rPr>
          <w:rFonts w:ascii="Arial" w:hAnsi="Arial" w:eastAsia="Times New Roman" w:cs="Times New Roman"/>
          <w:color w:val="auto"/>
          <w:sz w:val="36"/>
          <w:szCs w:val="20"/>
          <w:lang w:eastAsia="ja-JP"/>
        </w:rPr>
        <w:t>Acronym:</w:t>
      </w:r>
      <w:r>
        <w:rPr>
          <w:rFonts w:hint="eastAsia" w:ascii="Arial" w:hAnsi="Arial" w:eastAsia="宋体" w:cs="Times New Roman"/>
          <w:color w:val="auto"/>
          <w:sz w:val="36"/>
          <w:szCs w:val="20"/>
          <w:lang w:val="en-US" w:eastAsia="zh-CN"/>
        </w:rPr>
        <w:t xml:space="preserve"> </w:t>
      </w:r>
      <w:r>
        <w:rPr>
          <w:rFonts w:hint="eastAsia" w:ascii="Arial" w:hAnsi="Arial" w:eastAsia="宋体" w:cs="Times New Roman"/>
          <w:color w:val="auto"/>
          <w:sz w:val="36"/>
          <w:szCs w:val="20"/>
          <w:highlight w:val="none"/>
          <w:lang w:val="en-US" w:eastAsia="zh-CN"/>
        </w:rPr>
        <w:t xml:space="preserve"> </w:t>
      </w:r>
      <w:del w:id="9" w:author="CMCC01" w:date="2024-08-20T19:55:38Z">
        <w:r>
          <w:rPr>
            <w:rFonts w:hint="eastAsia" w:ascii="Arial" w:hAnsi="Arial" w:eastAsia="宋体" w:cs="Times New Roman"/>
            <w:color w:val="auto"/>
            <w:sz w:val="36"/>
            <w:szCs w:val="20"/>
            <w:highlight w:val="none"/>
            <w:lang w:val="en-US" w:eastAsia="zh-CN"/>
          </w:rPr>
          <w:delText>e</w:delText>
        </w:r>
      </w:del>
      <w:r>
        <w:rPr>
          <w:rFonts w:hint="eastAsia" w:ascii="Arial" w:hAnsi="Arial" w:eastAsia="宋体" w:cs="Times New Roman"/>
          <w:color w:val="auto"/>
          <w:sz w:val="36"/>
          <w:szCs w:val="20"/>
          <w:highlight w:val="none"/>
          <w:lang w:val="en-US" w:eastAsia="zh-CN"/>
        </w:rPr>
        <w:t>VNExpo</w:t>
      </w:r>
      <w:ins w:id="10" w:author="CMCC01" w:date="2024-08-20T20:02:40Z">
        <w:r>
          <w:rPr>
            <w:rFonts w:hint="eastAsia" w:ascii="Arial" w:hAnsi="Arial" w:eastAsia="宋体" w:cs="Times New Roman"/>
            <w:color w:val="auto"/>
            <w:sz w:val="36"/>
            <w:szCs w:val="20"/>
            <w:highlight w:val="none"/>
            <w:lang w:val="en-US" w:eastAsia="zh-CN"/>
          </w:rPr>
          <w:t>sure</w:t>
        </w:r>
      </w:ins>
    </w:p>
    <w:p>
      <w:pPr>
        <w:pStyle w:val="23"/>
      </w:pPr>
      <w:r>
        <w:t xml:space="preserve">{Propose an acronym. Final acronym to be confirmed at the plenary. The sign "-" is a level separator between </w:t>
      </w:r>
      <w:bookmarkStart w:id="1" w:name="_GoBack"/>
      <w:r>
        <w:t>(Feature)-(Building Block)-(Work Task). The sign "_" can be freely used. Studies have to start by "FS_". Each acronym level has to be simple and short, 7 characters max recommended}</w:t>
      </w:r>
      <w:bookmarkEnd w:id="1"/>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3"/>
      </w:pPr>
      <w:r>
        <w:t xml:space="preserve">{A number to be provided by MCC at the plenary}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Rel-20</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3"/>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t>Affects:</w:t>
            </w:r>
          </w:p>
        </w:tc>
        <w:tc>
          <w:tcPr>
            <w:tcW w:w="1275" w:type="dxa"/>
            <w:tcBorders>
              <w:left w:val="nil"/>
              <w:bottom w:val="single" w:color="auto" w:sz="12" w:space="0"/>
            </w:tcBorders>
            <w:shd w:val="clear" w:color="auto" w:fill="E0E0E0"/>
          </w:tcPr>
          <w:p>
            <w:pPr>
              <w:pStyle w:val="26"/>
            </w:pPr>
            <w:r>
              <w:t>UICC apps</w:t>
            </w:r>
          </w:p>
        </w:tc>
        <w:tc>
          <w:tcPr>
            <w:tcW w:w="1037" w:type="dxa"/>
            <w:tcBorders>
              <w:bottom w:val="single" w:color="auto" w:sz="12" w:space="0"/>
            </w:tcBorders>
            <w:shd w:val="clear" w:color="auto" w:fill="E0E0E0"/>
          </w:tcPr>
          <w:p>
            <w:pPr>
              <w:pStyle w:val="26"/>
            </w:pPr>
            <w:r>
              <w:t>ME</w:t>
            </w:r>
          </w:p>
        </w:tc>
        <w:tc>
          <w:tcPr>
            <w:tcW w:w="850" w:type="dxa"/>
            <w:tcBorders>
              <w:bottom w:val="single" w:color="auto" w:sz="12" w:space="0"/>
            </w:tcBorders>
            <w:shd w:val="clear" w:color="auto" w:fill="E0E0E0"/>
          </w:tcPr>
          <w:p>
            <w:pPr>
              <w:pStyle w:val="26"/>
            </w:pPr>
            <w:r>
              <w:t>AN</w:t>
            </w:r>
          </w:p>
        </w:tc>
        <w:tc>
          <w:tcPr>
            <w:tcW w:w="851" w:type="dxa"/>
            <w:tcBorders>
              <w:bottom w:val="single" w:color="auto" w:sz="12" w:space="0"/>
            </w:tcBorders>
            <w:shd w:val="clear" w:color="auto" w:fill="E0E0E0"/>
          </w:tcPr>
          <w:p>
            <w:pPr>
              <w:pStyle w:val="26"/>
            </w:pPr>
            <w:r>
              <w:t>CN</w:t>
            </w:r>
          </w:p>
        </w:tc>
        <w:tc>
          <w:tcPr>
            <w:tcW w:w="1752" w:type="dxa"/>
            <w:tcBorders>
              <w:bottom w:val="single" w:color="auto" w:sz="12" w:space="0"/>
            </w:tcBorders>
            <w:shd w:val="clear" w:color="auto" w:fill="E0E0E0"/>
          </w:tcPr>
          <w:p>
            <w:pPr>
              <w:pStyle w:val="2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t>Yes</w:t>
            </w:r>
          </w:p>
        </w:tc>
        <w:tc>
          <w:tcPr>
            <w:tcW w:w="1275" w:type="dxa"/>
            <w:tcBorders>
              <w:top w:val="nil"/>
              <w:left w:val="nil"/>
            </w:tcBorders>
            <w:vAlign w:val="top"/>
          </w:tcPr>
          <w:p>
            <w:pPr>
              <w:pStyle w:val="27"/>
            </w:pPr>
          </w:p>
        </w:tc>
        <w:tc>
          <w:tcPr>
            <w:tcW w:w="1037" w:type="dxa"/>
            <w:tcBorders>
              <w:top w:val="nil"/>
            </w:tcBorders>
            <w:vAlign w:val="top"/>
          </w:tcPr>
          <w:p>
            <w:pPr>
              <w:pStyle w:val="27"/>
            </w:pPr>
          </w:p>
        </w:tc>
        <w:tc>
          <w:tcPr>
            <w:tcW w:w="850" w:type="dxa"/>
            <w:tcBorders>
              <w:top w:val="nil"/>
            </w:tcBorders>
            <w:vAlign w:val="top"/>
          </w:tcPr>
          <w:p>
            <w:pPr>
              <w:pStyle w:val="27"/>
            </w:pPr>
          </w:p>
        </w:tc>
        <w:tc>
          <w:tcPr>
            <w:tcW w:w="851" w:type="dxa"/>
            <w:tcBorders>
              <w:top w:val="nil"/>
            </w:tcBorders>
            <w:vAlign w:val="top"/>
          </w:tcPr>
          <w:p>
            <w:pPr>
              <w:pStyle w:val="27"/>
            </w:pPr>
            <w:r>
              <w:t>x</w:t>
            </w: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No</w:t>
            </w:r>
          </w:p>
        </w:tc>
        <w:tc>
          <w:tcPr>
            <w:tcW w:w="1275" w:type="dxa"/>
            <w:tcBorders>
              <w:left w:val="nil"/>
            </w:tcBorders>
            <w:vAlign w:val="top"/>
          </w:tcPr>
          <w:p>
            <w:pPr>
              <w:pStyle w:val="27"/>
            </w:pPr>
            <w:r>
              <w:t>x</w:t>
            </w:r>
          </w:p>
        </w:tc>
        <w:tc>
          <w:tcPr>
            <w:tcW w:w="1037" w:type="dxa"/>
            <w:vAlign w:val="top"/>
          </w:tcPr>
          <w:p>
            <w:pPr>
              <w:pStyle w:val="27"/>
            </w:pPr>
            <w:r>
              <w:t>x</w:t>
            </w:r>
          </w:p>
        </w:tc>
        <w:tc>
          <w:tcPr>
            <w:tcW w:w="850" w:type="dxa"/>
            <w:vAlign w:val="top"/>
          </w:tcPr>
          <w:p>
            <w:pPr>
              <w:pStyle w:val="27"/>
            </w:pPr>
            <w:r>
              <w:t>x</w:t>
            </w:r>
          </w:p>
        </w:tc>
        <w:tc>
          <w:tcPr>
            <w:tcW w:w="851" w:type="dxa"/>
            <w:vAlign w:val="top"/>
          </w:tcPr>
          <w:p>
            <w:pPr>
              <w:pStyle w:val="27"/>
            </w:pPr>
          </w:p>
        </w:tc>
        <w:tc>
          <w:tcPr>
            <w:tcW w:w="1752"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Don't know</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r>
              <w:t>x</w:t>
            </w:r>
          </w:p>
        </w:tc>
        <w:tc>
          <w:tcPr>
            <w:tcW w:w="2917" w:type="dxa"/>
            <w:shd w:val="clear" w:color="auto" w:fill="E0E0E0"/>
          </w:tcPr>
          <w:p>
            <w:pPr>
              <w:pStyle w:val="26"/>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ind w:right="-99"/>
              <w:jc w:val="left"/>
            </w:pPr>
            <w:r>
              <w:t>Acronym</w:t>
            </w:r>
          </w:p>
        </w:tc>
        <w:tc>
          <w:tcPr>
            <w:tcW w:w="1101" w:type="dxa"/>
            <w:shd w:val="clear" w:color="auto" w:fill="E0E0E0"/>
          </w:tcPr>
          <w:p>
            <w:pPr>
              <w:pStyle w:val="26"/>
              <w:ind w:right="-99"/>
              <w:jc w:val="left"/>
            </w:pPr>
            <w:r>
              <w:t>Working Group</w:t>
            </w:r>
          </w:p>
        </w:tc>
        <w:tc>
          <w:tcPr>
            <w:tcW w:w="1101" w:type="dxa"/>
            <w:shd w:val="clear" w:color="auto" w:fill="E0E0E0"/>
          </w:tcPr>
          <w:p>
            <w:pPr>
              <w:pStyle w:val="26"/>
              <w:ind w:right="-99"/>
              <w:jc w:val="left"/>
            </w:pPr>
            <w:r>
              <w:t>Unique ID</w:t>
            </w:r>
          </w:p>
        </w:tc>
        <w:tc>
          <w:tcPr>
            <w:tcW w:w="6010" w:type="dxa"/>
            <w:shd w:val="clear" w:color="auto" w:fill="E0E0E0"/>
          </w:tcPr>
          <w:p>
            <w:pPr>
              <w:pStyle w:val="2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p>
        </w:tc>
        <w:tc>
          <w:tcPr>
            <w:tcW w:w="1101" w:type="dxa"/>
          </w:tcPr>
          <w:p>
            <w:pPr>
              <w:pStyle w:val="25"/>
            </w:pPr>
          </w:p>
        </w:tc>
        <w:tc>
          <w:tcPr>
            <w:tcW w:w="1101" w:type="dxa"/>
          </w:tcPr>
          <w:p>
            <w:pPr>
              <w:pStyle w:val="25"/>
            </w:pPr>
          </w:p>
        </w:tc>
        <w:tc>
          <w:tcPr>
            <w:tcW w:w="6010" w:type="dxa"/>
          </w:tcPr>
          <w:p>
            <w:pPr>
              <w:pStyle w:val="25"/>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3"/>
      </w:pPr>
      <w:r>
        <w:t>{List here other Work Items which relate to the proposed one, such as a Work Item in an earlier Release if further enhancing the feature from the previous Release)}</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t>Unique ID</w:t>
            </w:r>
          </w:p>
        </w:tc>
        <w:tc>
          <w:tcPr>
            <w:tcW w:w="3326" w:type="dxa"/>
            <w:shd w:val="clear" w:color="auto" w:fill="E0E0E0"/>
          </w:tcPr>
          <w:p>
            <w:pPr>
              <w:pStyle w:val="26"/>
            </w:pPr>
            <w:r>
              <w:t>Title</w:t>
            </w:r>
          </w:p>
        </w:tc>
        <w:tc>
          <w:tcPr>
            <w:tcW w:w="5099" w:type="dxa"/>
            <w:shd w:val="clear" w:color="auto" w:fill="E0E0E0"/>
          </w:tcPr>
          <w:p>
            <w:pPr>
              <w:pStyle w:val="26"/>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6" w:hRule="atLeast"/>
          <w:jc w:val="center"/>
        </w:trPr>
        <w:tc>
          <w:tcPr>
            <w:tcW w:w="1101" w:type="dxa"/>
            <w:vAlign w:val="top"/>
          </w:tcPr>
          <w:p>
            <w:pPr>
              <w:pStyle w:val="25"/>
            </w:pPr>
            <w:r>
              <w:t>800028</w:t>
            </w:r>
          </w:p>
        </w:tc>
        <w:tc>
          <w:tcPr>
            <w:tcW w:w="3326" w:type="dxa"/>
            <w:vAlign w:val="top"/>
          </w:tcPr>
          <w:p>
            <w:pPr>
              <w:pStyle w:val="25"/>
            </w:pPr>
            <w:r>
              <w:t>Feasibility Study on Vertical LAN</w:t>
            </w:r>
          </w:p>
        </w:tc>
        <w:tc>
          <w:tcPr>
            <w:tcW w:w="5099" w:type="dxa"/>
            <w:vAlign w:val="top"/>
          </w:tcPr>
          <w:p>
            <w:pPr>
              <w:pStyle w:val="25"/>
            </w:pPr>
            <w:r>
              <w:t>SA2 stage 2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5"/>
            </w:pPr>
            <w:r>
              <w:t>820017</w:t>
            </w:r>
          </w:p>
        </w:tc>
        <w:tc>
          <w:tcPr>
            <w:tcW w:w="3326" w:type="dxa"/>
            <w:vAlign w:val="top"/>
          </w:tcPr>
          <w:p>
            <w:pPr>
              <w:pStyle w:val="25"/>
            </w:pPr>
            <w:r>
              <w:t>5GS Enhanced support of Vertical and LAN Services</w:t>
            </w:r>
          </w:p>
        </w:tc>
        <w:tc>
          <w:tcPr>
            <w:tcW w:w="5099" w:type="dxa"/>
            <w:vAlign w:val="top"/>
          </w:tcPr>
          <w:p>
            <w:pPr>
              <w:pStyle w:val="25"/>
            </w:pPr>
            <w:r>
              <w:t>SA2 stage 2 work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5"/>
            </w:pPr>
            <w:r>
              <w:t>950030</w:t>
            </w:r>
          </w:p>
        </w:tc>
        <w:tc>
          <w:tcPr>
            <w:tcW w:w="3326" w:type="dxa"/>
            <w:vAlign w:val="top"/>
          </w:tcPr>
          <w:p>
            <w:pPr>
              <w:pStyle w:val="25"/>
            </w:pPr>
            <w:r>
              <w:t>Study on Management Aspect of 5GLAN</w:t>
            </w:r>
          </w:p>
        </w:tc>
        <w:tc>
          <w:tcPr>
            <w:tcW w:w="5099" w:type="dxa"/>
            <w:vAlign w:val="top"/>
          </w:tcPr>
          <w:p>
            <w:pPr>
              <w:pStyle w:val="25"/>
            </w:pPr>
            <w:r>
              <w:t>SA</w:t>
            </w:r>
            <w:r>
              <w:rPr>
                <w:rFonts w:hint="eastAsia" w:eastAsia="宋体"/>
                <w:lang w:val="en-US" w:eastAsia="zh-CN"/>
              </w:rPr>
              <w:t>5</w:t>
            </w:r>
            <w:r>
              <w:t xml:space="preserve"> stage </w:t>
            </w:r>
            <w:r>
              <w:rPr>
                <w:rFonts w:hint="eastAsia" w:eastAsia="宋体"/>
                <w:lang w:val="en-US" w:eastAsia="zh-CN"/>
              </w:rPr>
              <w:t>5</w:t>
            </w:r>
            <w:r>
              <w:t xml:space="preserve">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99" w:hRule="atLeast"/>
          <w:jc w:val="center"/>
        </w:trPr>
        <w:tc>
          <w:tcPr>
            <w:tcW w:w="1101" w:type="dxa"/>
            <w:vAlign w:val="top"/>
          </w:tcPr>
          <w:p>
            <w:pPr>
              <w:pStyle w:val="25"/>
            </w:pPr>
            <w:r>
              <w:rPr>
                <w:rFonts w:eastAsia="等线"/>
                <w:lang w:eastAsia="ja-JP"/>
              </w:rPr>
              <w:t>990027</w:t>
            </w:r>
          </w:p>
        </w:tc>
        <w:tc>
          <w:tcPr>
            <w:tcW w:w="3326" w:type="dxa"/>
            <w:vAlign w:val="top"/>
          </w:tcPr>
          <w:p>
            <w:pPr>
              <w:pStyle w:val="25"/>
            </w:pPr>
            <w:r>
              <w:t>Management Aspect of 5GLAN</w:t>
            </w:r>
          </w:p>
        </w:tc>
        <w:tc>
          <w:tcPr>
            <w:tcW w:w="5099" w:type="dxa"/>
            <w:vAlign w:val="top"/>
          </w:tcPr>
          <w:p>
            <w:pPr>
              <w:pStyle w:val="25"/>
            </w:pPr>
            <w:r>
              <w:t>SA</w:t>
            </w:r>
            <w:r>
              <w:rPr>
                <w:rFonts w:hint="eastAsia" w:eastAsia="宋体"/>
                <w:lang w:val="en-US" w:eastAsia="zh-CN"/>
              </w:rPr>
              <w:t>5</w:t>
            </w:r>
            <w:r>
              <w:t xml:space="preserve"> stage </w:t>
            </w:r>
            <w:r>
              <w:rPr>
                <w:rFonts w:hint="eastAsia" w:eastAsia="宋体"/>
                <w:lang w:val="en-US" w:eastAsia="zh-CN"/>
              </w:rPr>
              <w:t>5</w:t>
            </w:r>
            <w:r>
              <w:t xml:space="preserve"> work item</w:t>
            </w:r>
          </w:p>
        </w:tc>
      </w:tr>
    </w:tbl>
    <w:p>
      <w:pPr>
        <w:pStyle w:val="28"/>
      </w:pPr>
    </w:p>
    <w:p>
      <w:pPr>
        <w:rPr>
          <w:b/>
          <w:bCs/>
        </w:rPr>
      </w:pPr>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The 5G LAN serves as a cornerstone for the widespread adoption of 5G in industrial scenarios. Industry customers have a pressing need for timely access to configuration details and operational status of 5G LAN VN group. While the current 3GPP TS 22.261 specifies that 5G system can report relevant information about 5G VN group to an authorized third party, encompassing QoS policy changes, information pertaining to a specific UE and/or a specific network, as well as event notifications for changes in 5G VN group membership.</w:t>
      </w:r>
      <w:r>
        <w:rPr>
          <w:rFonts w:hint="eastAsia" w:cs="Times New Roman"/>
          <w:lang w:val="en-US" w:eastAsia="zh-CN"/>
        </w:rPr>
        <w:t xml:space="preserve"> And</w:t>
      </w:r>
      <w:r>
        <w:rPr>
          <w:rFonts w:hint="eastAsia" w:ascii="Times New Roman" w:hAnsi="Times New Roman" w:eastAsia="Times New Roman" w:cs="Times New Roman"/>
          <w:lang w:val="en-US" w:eastAsia="zh-CN"/>
        </w:rPr>
        <w:t xml:space="preserve"> 3GPP supports the group management of 5G LAN through carrier subscription or capability exposure mechanisms. However, both approaches present the following issues:</w:t>
      </w:r>
    </w:p>
    <w:p>
      <w:pPr>
        <w:rPr>
          <w:rFonts w:hint="eastAsia" w:ascii="Times New Roman" w:hAnsi="Times New Roman" w:eastAsia="Times New Roman" w:cs="Times New Roman"/>
          <w:lang w:val="en-US" w:eastAsia="zh-CN"/>
        </w:rPr>
      </w:pPr>
    </w:p>
    <w:p>
      <w:pPr>
        <w:rPr>
          <w:rFonts w:hint="eastAsia" w:ascii="Times New Roman" w:hAnsi="Times New Roman" w:eastAsia="Times New Roman" w:cs="Times New Roman"/>
          <w:highlight w:val="none"/>
          <w:lang w:val="en-US" w:eastAsia="zh-CN"/>
        </w:rPr>
      </w:pPr>
      <w:r>
        <w:rPr>
          <w:rFonts w:hint="eastAsia" w:cs="Times New Roman"/>
          <w:highlight w:val="none"/>
          <w:lang w:val="en-US" w:eastAsia="zh-CN"/>
        </w:rPr>
        <w:t>(1)</w:t>
      </w:r>
      <w:r>
        <w:rPr>
          <w:rFonts w:hint="eastAsia" w:ascii="Times New Roman" w:hAnsi="Times New Roman" w:eastAsia="Times New Roman" w:cs="Times New Roman"/>
          <w:highlight w:val="none"/>
          <w:lang w:val="en-US" w:eastAsia="zh-CN"/>
        </w:rPr>
        <w:t xml:space="preserve"> </w:t>
      </w:r>
      <w:r>
        <w:rPr>
          <w:rFonts w:hint="eastAsia" w:cs="Times New Roman"/>
          <w:highlight w:val="none"/>
          <w:lang w:val="en-US" w:eastAsia="zh-CN"/>
        </w:rPr>
        <w:t xml:space="preserve">The </w:t>
      </w:r>
      <w:r>
        <w:rPr>
          <w:rFonts w:hint="eastAsia" w:ascii="Times New Roman" w:hAnsi="Times New Roman" w:eastAsia="Times New Roman" w:cs="Times New Roman"/>
          <w:highlight w:val="none"/>
          <w:lang w:val="en-US" w:eastAsia="zh-CN"/>
        </w:rPr>
        <w:t>authorized third-party industry customers need to obtain information reporting at the granularity of 5G VN from the 5G system, so as to make necessary business adjustments and troubleshoot based on these information.</w:t>
      </w:r>
      <w:r>
        <w:rPr>
          <w:rFonts w:hint="eastAsia" w:cs="Times New Roman"/>
          <w:highlight w:val="none"/>
          <w:lang w:val="en-US" w:eastAsia="zh-CN"/>
        </w:rPr>
        <w:t xml:space="preserve"> I</w:t>
      </w:r>
      <w:r>
        <w:rPr>
          <w:rFonts w:hint="eastAsia" w:ascii="Times New Roman" w:hAnsi="Times New Roman" w:eastAsia="Times New Roman" w:cs="Times New Roman"/>
          <w:highlight w:val="none"/>
          <w:lang w:val="en-US" w:eastAsia="zh-CN"/>
        </w:rPr>
        <w:t>n TS 22.261 6.26.2.3</w:t>
      </w:r>
      <w:r>
        <w:rPr>
          <w:rFonts w:hint="eastAsia" w:cs="Times New Roman"/>
          <w:highlight w:val="none"/>
          <w:lang w:val="en-US" w:eastAsia="zh-CN"/>
        </w:rPr>
        <w:t xml:space="preserve">, </w:t>
      </w:r>
      <w:r>
        <w:rPr>
          <w:rFonts w:hint="eastAsia" w:ascii="Times New Roman" w:hAnsi="Times New Roman" w:eastAsia="Times New Roman" w:cs="Times New Roman"/>
          <w:highlight w:val="none"/>
          <w:lang w:val="en-US" w:eastAsia="zh-CN"/>
        </w:rPr>
        <w:t xml:space="preserve">the definition of "for a specific network" and the scope of "information" in "configure and receive information regarding the achieved performance for a specific network" are unclear and </w:t>
      </w:r>
      <w:r>
        <w:rPr>
          <w:rFonts w:hint="eastAsia" w:cs="Times New Roman"/>
          <w:highlight w:val="none"/>
          <w:lang w:val="en-US" w:eastAsia="zh-CN"/>
        </w:rPr>
        <w:t>needs more</w:t>
      </w:r>
      <w:r>
        <w:rPr>
          <w:rFonts w:hint="eastAsia" w:ascii="Times New Roman" w:hAnsi="Times New Roman" w:eastAsia="Times New Roman" w:cs="Times New Roman"/>
          <w:highlight w:val="none"/>
          <w:lang w:val="en-US" w:eastAsia="zh-CN"/>
        </w:rPr>
        <w:t xml:space="preserve"> clarification.</w:t>
      </w:r>
    </w:p>
    <w:p>
      <w:pPr>
        <w:rPr>
          <w:rFonts w:hint="eastAsia" w:cs="Times New Roman"/>
          <w:highlight w:val="none"/>
          <w:lang w:val="en-US" w:eastAsia="zh-CN"/>
        </w:rPr>
      </w:pPr>
    </w:p>
    <w:p>
      <w:pPr>
        <w:rPr>
          <w:rFonts w:hint="eastAsia" w:ascii="Times New Roman" w:hAnsi="Times New Roman" w:eastAsia="Times New Roman" w:cs="Times New Roman"/>
          <w:highlight w:val="none"/>
          <w:lang w:val="en-US" w:eastAsia="zh-CN"/>
        </w:rPr>
      </w:pPr>
      <w:r>
        <w:rPr>
          <w:rFonts w:hint="eastAsia" w:ascii="Times New Roman" w:hAnsi="Times New Roman" w:eastAsia="Times New Roman" w:cs="Times New Roman"/>
          <w:highlight w:val="none"/>
          <w:lang w:val="en-US" w:eastAsia="zh-CN"/>
        </w:rPr>
        <w:t>(</w:t>
      </w:r>
      <w:r>
        <w:rPr>
          <w:rFonts w:hint="eastAsia" w:cs="Times New Roman"/>
          <w:highlight w:val="none"/>
          <w:lang w:val="en-US" w:eastAsia="zh-CN"/>
        </w:rPr>
        <w:t>2</w:t>
      </w:r>
      <w:r>
        <w:rPr>
          <w:rFonts w:hint="eastAsia" w:ascii="Times New Roman" w:hAnsi="Times New Roman" w:eastAsia="Times New Roman" w:cs="Times New Roman"/>
          <w:highlight w:val="none"/>
          <w:lang w:val="en-US" w:eastAsia="zh-CN"/>
        </w:rPr>
        <w:t xml:space="preserve">) Industry customers require adjustments to 5G LAN groups based on business needs, which may involve changes </w:t>
      </w:r>
      <w:r>
        <w:rPr>
          <w:rFonts w:hint="eastAsia" w:cs="Times New Roman"/>
          <w:highlight w:val="none"/>
          <w:lang w:val="en-US" w:eastAsia="zh-CN"/>
        </w:rPr>
        <w:t xml:space="preserve">in </w:t>
      </w:r>
      <w:r>
        <w:rPr>
          <w:rFonts w:hint="eastAsia" w:ascii="Times New Roman" w:hAnsi="Times New Roman" w:eastAsia="Times New Roman" w:cs="Times New Roman"/>
          <w:highlight w:val="none"/>
          <w:lang w:val="en-US" w:eastAsia="zh-CN"/>
        </w:rPr>
        <w:t>network configurations. This necessitates manual intervention by operators, resulting in a lengthy business adjustment cycle</w:t>
      </w:r>
      <w:r>
        <w:rPr>
          <w:rFonts w:hint="eastAsia" w:cs="Times New Roman"/>
          <w:highlight w:val="none"/>
          <w:lang w:val="en-US" w:eastAsia="zh-CN"/>
        </w:rPr>
        <w:t xml:space="preserve"> and</w:t>
      </w:r>
      <w:r>
        <w:rPr>
          <w:rFonts w:hint="eastAsia" w:ascii="Times New Roman" w:hAnsi="Times New Roman" w:eastAsia="Times New Roman" w:cs="Times New Roman"/>
          <w:highlight w:val="none"/>
          <w:lang w:val="en-US" w:eastAsia="zh-CN"/>
        </w:rPr>
        <w:t xml:space="preserve"> leads to high communication costs between the enterprise AF and NEFs.</w:t>
      </w:r>
    </w:p>
    <w:p>
      <w:pPr>
        <w:rPr>
          <w:rFonts w:hint="eastAsia" w:ascii="Times New Roman" w:hAnsi="Times New Roman" w:eastAsia="Times New Roman" w:cs="Times New Roman"/>
          <w:highlight w:val="none"/>
          <w:lang w:val="en-US" w:eastAsia="zh-CN"/>
        </w:rPr>
      </w:pPr>
    </w:p>
    <w:p>
      <w:pPr>
        <w:rPr>
          <w:rFonts w:hint="eastAsia" w:ascii="Times New Roman" w:hAnsi="Times New Roman" w:eastAsia="Times New Roman" w:cs="Times New Roman"/>
          <w:highlight w:val="none"/>
          <w:lang w:val="en-US" w:eastAsia="zh-CN"/>
        </w:rPr>
      </w:pPr>
      <w:r>
        <w:rPr>
          <w:rFonts w:hint="eastAsia" w:ascii="Times New Roman" w:hAnsi="Times New Roman" w:eastAsia="Times New Roman" w:cs="Times New Roman"/>
          <w:highlight w:val="none"/>
          <w:lang w:val="en-US" w:eastAsia="zh-CN"/>
        </w:rPr>
        <w:t xml:space="preserve">To address these issues, </w:t>
      </w:r>
      <w:bookmarkStart w:id="0" w:name="OLE_LINK1"/>
      <w:r>
        <w:rPr>
          <w:rFonts w:hint="eastAsia" w:ascii="Times New Roman" w:hAnsi="Times New Roman" w:eastAsia="Times New Roman" w:cs="Times New Roman"/>
          <w:highlight w:val="none"/>
          <w:lang w:val="en-US" w:eastAsia="zh-CN"/>
        </w:rPr>
        <w:t xml:space="preserve">operators should </w:t>
      </w:r>
      <w:r>
        <w:rPr>
          <w:rFonts w:hint="eastAsia" w:cs="Times New Roman"/>
          <w:highlight w:val="none"/>
          <w:lang w:val="en-US" w:eastAsia="zh-CN"/>
        </w:rPr>
        <w:t xml:space="preserve">just make the </w:t>
      </w:r>
      <w:r>
        <w:rPr>
          <w:rFonts w:hint="eastAsia" w:ascii="Times New Roman" w:hAnsi="Times New Roman" w:eastAsia="Times New Roman" w:cs="Times New Roman"/>
          <w:highlight w:val="none"/>
          <w:lang w:val="en-US" w:eastAsia="zh-CN"/>
        </w:rPr>
        <w:t>subscri</w:t>
      </w:r>
      <w:r>
        <w:rPr>
          <w:rFonts w:hint="eastAsia" w:cs="Times New Roman"/>
          <w:highlight w:val="none"/>
          <w:lang w:val="en-US" w:eastAsia="zh-CN"/>
        </w:rPr>
        <w:t xml:space="preserve">ption </w:t>
      </w:r>
      <w:r>
        <w:rPr>
          <w:rFonts w:hint="eastAsia" w:ascii="Times New Roman" w:hAnsi="Times New Roman" w:eastAsia="Times New Roman" w:cs="Times New Roman"/>
          <w:highlight w:val="none"/>
          <w:lang w:val="en-US" w:eastAsia="zh-CN"/>
        </w:rPr>
        <w:t>and exposure group management</w:t>
      </w:r>
      <w:ins w:id="11" w:author="CMCC01" w:date="2024-08-22T19:03:49Z">
        <w:r>
          <w:rPr>
            <w:rFonts w:hint="eastAsia" w:cs="Times New Roman"/>
            <w:highlight w:val="none"/>
            <w:lang w:val="en-US" w:eastAsia="zh-CN"/>
          </w:rPr>
          <w:t xml:space="preserve"> </w:t>
        </w:r>
      </w:ins>
      <w:ins w:id="12" w:author="CMCC01" w:date="2024-08-22T19:03:50Z">
        <w:r>
          <w:rPr>
            <w:rFonts w:hint="eastAsia" w:cs="Times New Roman"/>
            <w:highlight w:val="none"/>
            <w:lang w:val="en-US" w:eastAsia="zh-CN"/>
          </w:rPr>
          <w:t>serv</w:t>
        </w:r>
      </w:ins>
      <w:ins w:id="13" w:author="CMCC01" w:date="2024-08-22T19:03:51Z">
        <w:r>
          <w:rPr>
            <w:rFonts w:hint="eastAsia" w:cs="Times New Roman"/>
            <w:highlight w:val="none"/>
            <w:lang w:val="en-US" w:eastAsia="zh-CN"/>
          </w:rPr>
          <w:t>ice</w:t>
        </w:r>
      </w:ins>
      <w:r>
        <w:rPr>
          <w:rFonts w:hint="eastAsia" w:ascii="Times New Roman" w:hAnsi="Times New Roman" w:eastAsia="Times New Roman" w:cs="Times New Roman"/>
          <w:highlight w:val="none"/>
          <w:lang w:val="en-US" w:eastAsia="zh-CN"/>
        </w:rPr>
        <w:t xml:space="preserve">, which is closely tied to business requirements, to authorized third-party industry customers. </w:t>
      </w:r>
      <w:r>
        <w:rPr>
          <w:rFonts w:hint="eastAsia" w:cs="Times New Roman"/>
          <w:highlight w:val="none"/>
          <w:lang w:val="en-US" w:eastAsia="zh-CN"/>
        </w:rPr>
        <w:t xml:space="preserve">The industry customers could perform timely operation within the subscribed 5G LAN. </w:t>
      </w:r>
      <w:r>
        <w:rPr>
          <w:rFonts w:hint="eastAsia" w:ascii="Times New Roman" w:hAnsi="Times New Roman" w:eastAsia="Times New Roman" w:cs="Times New Roman"/>
          <w:highlight w:val="none"/>
          <w:lang w:val="en-US" w:eastAsia="zh-CN"/>
        </w:rPr>
        <w:t xml:space="preserve">This will enable a "one-time service activation, self-adjustment by customers" model, improving the efficiency of 5G </w:t>
      </w:r>
      <w:r>
        <w:rPr>
          <w:rFonts w:hint="eastAsia" w:cs="Times New Roman"/>
          <w:highlight w:val="none"/>
          <w:lang w:val="en-US" w:eastAsia="zh-CN"/>
        </w:rPr>
        <w:t>VN</w:t>
      </w:r>
      <w:r>
        <w:rPr>
          <w:rFonts w:hint="eastAsia" w:ascii="Times New Roman" w:hAnsi="Times New Roman" w:eastAsia="Times New Roman" w:cs="Times New Roman"/>
          <w:highlight w:val="none"/>
          <w:lang w:val="en-US" w:eastAsia="zh-CN"/>
        </w:rPr>
        <w:t xml:space="preserve"> service adjustments. </w:t>
      </w:r>
      <w:bookmarkEnd w:id="0"/>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rPr>
          <w:highlight w:val="none"/>
        </w:rPr>
      </w:pPr>
      <w:r>
        <w:rPr>
          <w:highlight w:val="none"/>
        </w:rPr>
        <w:t>The objective of this work is</w:t>
      </w:r>
      <w:r>
        <w:rPr>
          <w:rFonts w:hint="eastAsia" w:eastAsia="宋体"/>
          <w:highlight w:val="none"/>
          <w:lang w:val="en-US" w:eastAsia="zh-CN"/>
        </w:rPr>
        <w:t xml:space="preserve"> </w:t>
      </w:r>
      <w:r>
        <w:rPr>
          <w:rFonts w:hint="eastAsia"/>
          <w:highlight w:val="none"/>
        </w:rPr>
        <w:t xml:space="preserve">to address the </w:t>
      </w:r>
      <w:r>
        <w:rPr>
          <w:rFonts w:hint="eastAsia" w:eastAsia="宋体"/>
          <w:highlight w:val="none"/>
          <w:lang w:val="en-US" w:eastAsia="zh-CN"/>
        </w:rPr>
        <w:t>following</w:t>
      </w:r>
      <w:r>
        <w:rPr>
          <w:rFonts w:hint="eastAsia"/>
          <w:highlight w:val="none"/>
        </w:rPr>
        <w:t xml:space="preserve"> requirements for the 5G system:</w:t>
      </w:r>
    </w:p>
    <w:p>
      <w:pPr>
        <w:pStyle w:val="22"/>
        <w:numPr>
          <w:ilvl w:val="0"/>
          <w:numId w:val="1"/>
        </w:numPr>
        <w:overflowPunct w:val="0"/>
        <w:autoSpaceDE w:val="0"/>
        <w:autoSpaceDN w:val="0"/>
        <w:adjustRightInd w:val="0"/>
        <w:spacing w:after="180"/>
        <w:contextualSpacing/>
        <w:textAlignment w:val="baseline"/>
        <w:rPr>
          <w:highlight w:val="none"/>
        </w:rPr>
      </w:pPr>
      <w:r>
        <w:rPr>
          <w:rFonts w:hint="eastAsia" w:ascii="Times New Roman" w:hAnsi="Times New Roman" w:eastAsia="宋体" w:cs="Times New Roman"/>
          <w:sz w:val="20"/>
          <w:szCs w:val="20"/>
          <w:highlight w:val="none"/>
          <w:lang w:val="en-US" w:eastAsia="zh-CN"/>
        </w:rPr>
        <w:t>E</w:t>
      </w:r>
      <w:r>
        <w:rPr>
          <w:rFonts w:hint="default" w:ascii="Times New Roman" w:hAnsi="Times New Roman" w:eastAsia="Times New Roman" w:cs="Times New Roman"/>
          <w:sz w:val="20"/>
          <w:szCs w:val="20"/>
          <w:highlight w:val="none"/>
          <w:lang w:val="en-GB"/>
        </w:rPr>
        <w:t xml:space="preserve">xplicitly define the requirements for 5G systems to report VN granularity information, including </w:t>
      </w:r>
      <w:r>
        <w:rPr>
          <w:rFonts w:hint="eastAsia" w:eastAsia="宋体" w:cs="Times New Roman"/>
          <w:sz w:val="20"/>
          <w:szCs w:val="20"/>
          <w:highlight w:val="none"/>
          <w:lang w:val="en-US" w:eastAsia="zh-CN"/>
        </w:rPr>
        <w:t>user status and</w:t>
      </w:r>
      <w:ins w:id="14" w:author="CMCC01" w:date="2024-08-22T19:03:31Z">
        <w:r>
          <w:rPr>
            <w:rFonts w:hint="eastAsia" w:eastAsia="宋体" w:cs="Times New Roman"/>
            <w:sz w:val="20"/>
            <w:szCs w:val="20"/>
            <w:highlight w:val="none"/>
            <w:lang w:val="en-US" w:eastAsia="zh-CN"/>
          </w:rPr>
          <w:t xml:space="preserve"> </w:t>
        </w:r>
      </w:ins>
      <w:del w:id="15" w:author="CMCC01" w:date="2024-08-22T19:03:30Z">
        <w:r>
          <w:rPr>
            <w:rFonts w:hint="eastAsia" w:eastAsia="宋体" w:cs="Times New Roman"/>
            <w:sz w:val="20"/>
            <w:szCs w:val="20"/>
            <w:highlight w:val="none"/>
            <w:lang w:val="en-US" w:eastAsia="zh-CN"/>
          </w:rPr>
          <w:delText xml:space="preserve"> </w:delText>
        </w:r>
      </w:del>
      <w:del w:id="16" w:author="CMCC01" w:date="2024-08-22T19:03:29Z">
        <w:r>
          <w:rPr>
            <w:rFonts w:hint="default" w:ascii="Times New Roman" w:hAnsi="Times New Roman" w:eastAsia="Times New Roman" w:cs="Times New Roman"/>
            <w:sz w:val="20"/>
            <w:szCs w:val="20"/>
            <w:highlight w:val="none"/>
            <w:lang w:val="en-GB"/>
          </w:rPr>
          <w:delText xml:space="preserve">operational </w:delText>
        </w:r>
      </w:del>
      <w:r>
        <w:rPr>
          <w:rFonts w:hint="default" w:ascii="Times New Roman" w:hAnsi="Times New Roman" w:eastAsia="Times New Roman" w:cs="Times New Roman"/>
          <w:sz w:val="20"/>
          <w:szCs w:val="20"/>
          <w:highlight w:val="none"/>
          <w:lang w:val="en-GB"/>
        </w:rPr>
        <w:t>status</w:t>
      </w:r>
      <w:ins w:id="17" w:author="CMCC01" w:date="2024-08-22T19:03:34Z">
        <w:r>
          <w:rPr>
            <w:rFonts w:hint="eastAsia" w:eastAsia="宋体" w:cs="Times New Roman"/>
            <w:sz w:val="20"/>
            <w:szCs w:val="20"/>
            <w:highlight w:val="none"/>
            <w:lang w:val="en-US" w:eastAsia="zh-CN"/>
          </w:rPr>
          <w:t xml:space="preserve"> chang</w:t>
        </w:r>
      </w:ins>
      <w:ins w:id="18" w:author="CMCC01" w:date="2024-08-22T19:03:35Z">
        <w:r>
          <w:rPr>
            <w:rFonts w:hint="eastAsia" w:eastAsia="宋体" w:cs="Times New Roman"/>
            <w:sz w:val="20"/>
            <w:szCs w:val="20"/>
            <w:highlight w:val="none"/>
            <w:lang w:val="en-US" w:eastAsia="zh-CN"/>
          </w:rPr>
          <w:t>es</w:t>
        </w:r>
      </w:ins>
      <w:r>
        <w:rPr>
          <w:rFonts w:hint="default" w:ascii="Times New Roman" w:hAnsi="Times New Roman" w:eastAsia="Times New Roman" w:cs="Times New Roman"/>
          <w:sz w:val="20"/>
          <w:szCs w:val="20"/>
          <w:highlight w:val="none"/>
          <w:lang w:val="en-GB"/>
        </w:rPr>
        <w:t xml:space="preserve"> to authorized third parties. </w:t>
      </w:r>
    </w:p>
    <w:p>
      <w:pPr>
        <w:pStyle w:val="22"/>
        <w:numPr>
          <w:ilvl w:val="0"/>
          <w:numId w:val="1"/>
        </w:numPr>
        <w:overflowPunct w:val="0"/>
        <w:autoSpaceDE w:val="0"/>
        <w:autoSpaceDN w:val="0"/>
        <w:adjustRightInd w:val="0"/>
        <w:spacing w:after="180"/>
        <w:contextualSpacing/>
        <w:textAlignment w:val="baseline"/>
        <w:rPr>
          <w:rFonts w:hint="default" w:ascii="Times New Roman" w:hAnsi="Times New Roman" w:eastAsia="Times New Roman" w:cs="Times New Roman"/>
          <w:sz w:val="20"/>
          <w:szCs w:val="20"/>
          <w:highlight w:val="none"/>
          <w:lang w:val="en-GB"/>
        </w:rPr>
      </w:pPr>
      <w:r>
        <w:rPr>
          <w:rFonts w:hint="eastAsia" w:ascii="Times New Roman" w:hAnsi="Times New Roman" w:eastAsia="宋体" w:cs="Times New Roman"/>
          <w:sz w:val="20"/>
          <w:szCs w:val="20"/>
          <w:highlight w:val="none"/>
          <w:lang w:val="en-US" w:eastAsia="zh-CN"/>
        </w:rPr>
        <w:t xml:space="preserve">5G LAN </w:t>
      </w:r>
      <w:r>
        <w:rPr>
          <w:rFonts w:hint="eastAsia" w:eastAsia="宋体" w:cs="Times New Roman"/>
          <w:sz w:val="20"/>
          <w:szCs w:val="20"/>
          <w:highlight w:val="none"/>
          <w:lang w:val="en-US" w:eastAsia="zh-CN"/>
        </w:rPr>
        <w:t xml:space="preserve">service </w:t>
      </w:r>
      <w:r>
        <w:rPr>
          <w:rFonts w:hint="eastAsia" w:ascii="Times New Roman" w:hAnsi="Times New Roman" w:eastAsia="宋体" w:cs="Times New Roman"/>
          <w:sz w:val="20"/>
          <w:szCs w:val="20"/>
          <w:highlight w:val="none"/>
          <w:lang w:val="en-US" w:eastAsia="zh-CN"/>
        </w:rPr>
        <w:t xml:space="preserve">exposure </w:t>
      </w:r>
      <w:r>
        <w:rPr>
          <w:rFonts w:hint="eastAsia" w:eastAsia="宋体" w:cs="Times New Roman"/>
          <w:sz w:val="20"/>
          <w:szCs w:val="20"/>
          <w:highlight w:val="none"/>
          <w:lang w:val="en-US" w:eastAsia="zh-CN"/>
        </w:rPr>
        <w:t xml:space="preserve">enhancement, i.e., exposure the 5G LAN group management capabilities </w:t>
      </w:r>
      <w:r>
        <w:rPr>
          <w:rFonts w:hint="default" w:ascii="Times New Roman" w:hAnsi="Times New Roman" w:eastAsia="Times New Roman" w:cs="Times New Roman"/>
          <w:sz w:val="20"/>
          <w:szCs w:val="20"/>
          <w:highlight w:val="none"/>
          <w:lang w:val="en-GB"/>
        </w:rPr>
        <w:t>to authorized third parties</w:t>
      </w:r>
      <w:r>
        <w:rPr>
          <w:rFonts w:hint="eastAsia" w:eastAsia="宋体" w:cs="Times New Roman"/>
          <w:sz w:val="20"/>
          <w:szCs w:val="20"/>
          <w:highlight w:val="none"/>
          <w:lang w:val="en-US" w:eastAsia="zh-CN"/>
        </w:rPr>
        <w:t xml:space="preserve"> based on operator</w:t>
      </w:r>
      <w:r>
        <w:rPr>
          <w:rFonts w:hint="default" w:eastAsia="宋体" w:cs="Times New Roman"/>
          <w:sz w:val="20"/>
          <w:szCs w:val="20"/>
          <w:highlight w:val="none"/>
          <w:lang w:val="en-US" w:eastAsia="zh-CN"/>
        </w:rPr>
        <w:t>’</w:t>
      </w:r>
      <w:r>
        <w:rPr>
          <w:rFonts w:hint="eastAsia" w:eastAsia="宋体" w:cs="Times New Roman"/>
          <w:sz w:val="20"/>
          <w:szCs w:val="20"/>
          <w:highlight w:val="none"/>
          <w:lang w:val="en-US" w:eastAsia="zh-CN"/>
        </w:rPr>
        <w:t xml:space="preserve">s policy. </w:t>
      </w:r>
    </w:p>
    <w:p>
      <w:pPr>
        <w:pStyle w:val="22"/>
        <w:numPr>
          <w:ilvl w:val="0"/>
          <w:numId w:val="0"/>
        </w:numPr>
        <w:overflowPunct w:val="0"/>
        <w:autoSpaceDE w:val="0"/>
        <w:autoSpaceDN w:val="0"/>
        <w:adjustRightInd w:val="0"/>
        <w:spacing w:after="180"/>
        <w:contextualSpacing/>
        <w:textAlignment w:val="baseline"/>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6"/>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t xml:space="preserve">Type </w:t>
            </w:r>
          </w:p>
        </w:tc>
        <w:tc>
          <w:tcPr>
            <w:tcW w:w="1134" w:type="dxa"/>
            <w:shd w:val="clear" w:color="auto" w:fill="D9D9D9"/>
            <w:tcMar>
              <w:left w:w="57" w:type="dxa"/>
              <w:right w:w="57" w:type="dxa"/>
            </w:tcMar>
          </w:tcPr>
          <w:p>
            <w:pPr>
              <w:pStyle w:val="26"/>
            </w:pPr>
            <w:r>
              <w:t>TS/TR number</w:t>
            </w:r>
          </w:p>
        </w:tc>
        <w:tc>
          <w:tcPr>
            <w:tcW w:w="2409" w:type="dxa"/>
            <w:shd w:val="clear" w:color="auto" w:fill="D9D9D9"/>
            <w:tcMar>
              <w:left w:w="57" w:type="dxa"/>
              <w:right w:w="57" w:type="dxa"/>
            </w:tcMar>
          </w:tcPr>
          <w:p>
            <w:pPr>
              <w:pStyle w:val="26"/>
            </w:pPr>
            <w:r>
              <w:t>Title</w:t>
            </w:r>
          </w:p>
        </w:tc>
        <w:tc>
          <w:tcPr>
            <w:tcW w:w="993" w:type="dxa"/>
            <w:shd w:val="clear" w:color="auto" w:fill="D9D9D9"/>
            <w:tcMar>
              <w:left w:w="57" w:type="dxa"/>
              <w:right w:w="57" w:type="dxa"/>
            </w:tcMar>
          </w:tcPr>
          <w:p>
            <w:pPr>
              <w:pStyle w:val="26"/>
            </w:pPr>
            <w:r>
              <w:t xml:space="preserve">For info </w:t>
            </w:r>
            <w:r>
              <w:br w:type="textWrapping"/>
            </w:r>
            <w:r>
              <w:t xml:space="preserve">at TSG# </w:t>
            </w:r>
          </w:p>
        </w:tc>
        <w:tc>
          <w:tcPr>
            <w:tcW w:w="1074" w:type="dxa"/>
            <w:shd w:val="clear" w:color="auto" w:fill="D9D9D9"/>
            <w:tcMar>
              <w:left w:w="57" w:type="dxa"/>
              <w:right w:w="57" w:type="dxa"/>
            </w:tcMar>
          </w:tcPr>
          <w:p>
            <w:pPr>
              <w:pStyle w:val="26"/>
            </w:pPr>
            <w:r>
              <w:t>For approval at TSG#</w:t>
            </w:r>
          </w:p>
        </w:tc>
        <w:tc>
          <w:tcPr>
            <w:tcW w:w="2186" w:type="dxa"/>
            <w:shd w:val="clear" w:color="auto" w:fill="D9D9D9"/>
            <w:tcMar>
              <w:left w:w="57" w:type="dxa"/>
              <w:right w:w="57" w:type="dxa"/>
            </w:tcMar>
          </w:tcPr>
          <w:p>
            <w:pPr>
              <w:pStyle w:val="26"/>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3"/>
              <w:spacing w:after="0"/>
            </w:pPr>
          </w:p>
        </w:tc>
        <w:tc>
          <w:tcPr>
            <w:tcW w:w="1134" w:type="dxa"/>
          </w:tcPr>
          <w:p>
            <w:pPr>
              <w:pStyle w:val="23"/>
              <w:spacing w:after="0"/>
            </w:pPr>
          </w:p>
        </w:tc>
        <w:tc>
          <w:tcPr>
            <w:tcW w:w="2409" w:type="dxa"/>
          </w:tcPr>
          <w:p>
            <w:pPr>
              <w:pStyle w:val="23"/>
              <w:spacing w:after="0"/>
            </w:pPr>
          </w:p>
        </w:tc>
        <w:tc>
          <w:tcPr>
            <w:tcW w:w="993" w:type="dxa"/>
          </w:tcPr>
          <w:p>
            <w:pPr>
              <w:pStyle w:val="23"/>
              <w:spacing w:after="0"/>
            </w:pPr>
          </w:p>
        </w:tc>
        <w:tc>
          <w:tcPr>
            <w:tcW w:w="1074" w:type="dxa"/>
          </w:tcPr>
          <w:p>
            <w:pPr>
              <w:pStyle w:val="23"/>
              <w:spacing w:after="0"/>
            </w:pPr>
          </w:p>
        </w:tc>
        <w:tc>
          <w:tcPr>
            <w:tcW w:w="2186" w:type="dxa"/>
          </w:tcPr>
          <w:p>
            <w:pPr>
              <w:pStyle w:val="23"/>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pPr>
          </w:p>
        </w:tc>
        <w:tc>
          <w:tcPr>
            <w:tcW w:w="1134" w:type="dxa"/>
          </w:tcPr>
          <w:p>
            <w:pPr>
              <w:pStyle w:val="25"/>
            </w:pPr>
          </w:p>
        </w:tc>
        <w:tc>
          <w:tcPr>
            <w:tcW w:w="2409" w:type="dxa"/>
          </w:tcPr>
          <w:p>
            <w:pPr>
              <w:pStyle w:val="25"/>
            </w:pPr>
          </w:p>
        </w:tc>
        <w:tc>
          <w:tcPr>
            <w:tcW w:w="993" w:type="dxa"/>
          </w:tcPr>
          <w:p>
            <w:pPr>
              <w:pStyle w:val="25"/>
            </w:pPr>
          </w:p>
        </w:tc>
        <w:tc>
          <w:tcPr>
            <w:tcW w:w="1074" w:type="dxa"/>
          </w:tcPr>
          <w:p>
            <w:pPr>
              <w:pStyle w:val="25"/>
            </w:pPr>
          </w:p>
        </w:tc>
        <w:tc>
          <w:tcPr>
            <w:tcW w:w="2186" w:type="dxa"/>
          </w:tcPr>
          <w:p>
            <w:pPr>
              <w:pStyle w:val="25"/>
            </w:pPr>
          </w:p>
        </w:tc>
      </w:tr>
    </w:tbl>
    <w:p>
      <w:pPr>
        <w:pStyle w:val="28"/>
      </w:pPr>
    </w:p>
    <w:p/>
    <w:tbl>
      <w:tblPr>
        <w:tblStyle w:val="14"/>
        <w:tblW w:w="0" w:type="auto"/>
        <w:jc w:val="center"/>
        <w:tblLayout w:type="fixed"/>
        <w:tblCellMar>
          <w:top w:w="0" w:type="dxa"/>
          <w:left w:w="108" w:type="dxa"/>
          <w:bottom w:w="0" w:type="dxa"/>
          <w:right w:w="108" w:type="dxa"/>
        </w:tblCellMar>
      </w:tblPr>
      <w:tblGrid>
        <w:gridCol w:w="1445"/>
        <w:gridCol w:w="4526"/>
        <w:gridCol w:w="1235"/>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6"/>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6"/>
            </w:pPr>
            <w:r>
              <w:t>TS/TR No.</w:t>
            </w:r>
          </w:p>
        </w:tc>
        <w:tc>
          <w:tcPr>
            <w:tcW w:w="4526" w:type="dxa"/>
            <w:tcBorders>
              <w:top w:val="single" w:color="auto" w:sz="4" w:space="0"/>
              <w:left w:val="single" w:color="auto" w:sz="4" w:space="0"/>
              <w:bottom w:val="single" w:color="auto" w:sz="4" w:space="0"/>
              <w:right w:val="single" w:color="auto" w:sz="4" w:space="0"/>
            </w:tcBorders>
            <w:shd w:val="clear" w:color="auto" w:fill="E0E0E0"/>
          </w:tcPr>
          <w:p>
            <w:pPr>
              <w:pStyle w:val="26"/>
            </w:pPr>
            <w:r>
              <w:t xml:space="preserve">Description of change </w:t>
            </w:r>
          </w:p>
        </w:tc>
        <w:tc>
          <w:tcPr>
            <w:tcW w:w="1235" w:type="dxa"/>
            <w:tcBorders>
              <w:top w:val="single" w:color="auto" w:sz="4" w:space="0"/>
              <w:left w:val="single" w:color="auto" w:sz="4" w:space="0"/>
              <w:bottom w:val="single" w:color="auto" w:sz="4" w:space="0"/>
              <w:right w:val="single" w:color="auto" w:sz="4" w:space="0"/>
            </w:tcBorders>
            <w:shd w:val="clear" w:color="auto" w:fill="E0E0E0"/>
          </w:tcPr>
          <w:p>
            <w:pPr>
              <w:pStyle w:val="26"/>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6"/>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23"/>
              <w:spacing w:after="0"/>
            </w:pPr>
            <w:r>
              <w:rPr>
                <w:i w:val="0"/>
                <w:iCs/>
              </w:rPr>
              <w:t>22.261</w:t>
            </w:r>
          </w:p>
        </w:tc>
        <w:tc>
          <w:tcPr>
            <w:tcW w:w="4526" w:type="dxa"/>
            <w:tcBorders>
              <w:top w:val="single" w:color="auto" w:sz="4" w:space="0"/>
              <w:left w:val="single" w:color="auto" w:sz="4" w:space="0"/>
              <w:bottom w:val="single" w:color="auto" w:sz="4" w:space="0"/>
              <w:right w:val="single" w:color="auto" w:sz="4" w:space="0"/>
            </w:tcBorders>
            <w:vAlign w:val="top"/>
          </w:tcPr>
          <w:p>
            <w:pPr>
              <w:pStyle w:val="23"/>
              <w:spacing w:after="0"/>
            </w:pPr>
            <w:r>
              <w:rPr>
                <w:rFonts w:hint="eastAsia"/>
                <w:color w:val="auto"/>
              </w:rPr>
              <w:t xml:space="preserve">Add </w:t>
            </w:r>
            <w:r>
              <w:rPr>
                <w:rFonts w:hint="eastAsia" w:eastAsia="宋体"/>
                <w:color w:val="auto"/>
                <w:lang w:val="en-US" w:eastAsia="zh-CN"/>
              </w:rPr>
              <w:t xml:space="preserve">new </w:t>
            </w:r>
            <w:r>
              <w:rPr>
                <w:rFonts w:hint="eastAsia"/>
                <w:color w:val="auto"/>
              </w:rPr>
              <w:t xml:space="preserve">service requirements for </w:t>
            </w:r>
            <w:r>
              <w:rPr>
                <w:rFonts w:hint="eastAsia" w:eastAsia="宋体"/>
                <w:color w:val="auto"/>
                <w:lang w:val="en-US" w:eastAsia="zh-CN"/>
              </w:rPr>
              <w:t xml:space="preserve">exposing </w:t>
            </w:r>
            <w:r>
              <w:rPr>
                <w:rFonts w:hint="eastAsia"/>
                <w:color w:val="auto"/>
              </w:rPr>
              <w:t>VN</w:t>
            </w:r>
            <w:r>
              <w:rPr>
                <w:rFonts w:hint="eastAsia" w:eastAsia="宋体"/>
                <w:color w:val="auto"/>
                <w:lang w:val="en-US" w:eastAsia="zh-CN"/>
              </w:rPr>
              <w:t xml:space="preserve"> information and capability </w:t>
            </w:r>
            <w:r>
              <w:rPr>
                <w:rFonts w:hint="eastAsia"/>
                <w:color w:val="auto"/>
              </w:rPr>
              <w:t>to authorized third party</w:t>
            </w:r>
          </w:p>
        </w:tc>
        <w:tc>
          <w:tcPr>
            <w:tcW w:w="1235" w:type="dxa"/>
            <w:tcBorders>
              <w:top w:val="single" w:color="auto" w:sz="4" w:space="0"/>
              <w:left w:val="single" w:color="auto" w:sz="4" w:space="0"/>
              <w:bottom w:val="single" w:color="auto" w:sz="4" w:space="0"/>
              <w:right w:val="single" w:color="auto" w:sz="4" w:space="0"/>
            </w:tcBorders>
            <w:vAlign w:val="top"/>
          </w:tcPr>
          <w:p>
            <w:pPr>
              <w:pStyle w:val="23"/>
              <w:spacing w:after="0"/>
              <w:rPr>
                <w:rFonts w:hint="default" w:eastAsia="宋体"/>
                <w:lang w:val="en-US" w:eastAsia="zh-CN"/>
              </w:rPr>
            </w:pPr>
            <w:r>
              <w:rPr>
                <w:i w:val="0"/>
                <w:iCs/>
              </w:rPr>
              <w:t>TSG#</w:t>
            </w:r>
            <w:r>
              <w:rPr>
                <w:rFonts w:hint="eastAsia" w:eastAsia="宋体"/>
                <w:i w:val="0"/>
                <w:iCs/>
                <w:lang w:val="en-US" w:eastAsia="zh-CN"/>
              </w:rPr>
              <w:t>105</w:t>
            </w:r>
          </w:p>
        </w:tc>
        <w:tc>
          <w:tcPr>
            <w:tcW w:w="2101" w:type="dxa"/>
            <w:tcBorders>
              <w:top w:val="single" w:color="auto" w:sz="4" w:space="0"/>
              <w:left w:val="single" w:color="auto" w:sz="4" w:space="0"/>
              <w:bottom w:val="single" w:color="auto" w:sz="4" w:space="0"/>
              <w:right w:val="single" w:color="auto" w:sz="4" w:space="0"/>
            </w:tcBorders>
          </w:tcPr>
          <w:p>
            <w:pPr>
              <w:pStyle w:val="23"/>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pPr>
          </w:p>
        </w:tc>
        <w:tc>
          <w:tcPr>
            <w:tcW w:w="4526" w:type="dxa"/>
            <w:tcBorders>
              <w:top w:val="single" w:color="auto" w:sz="4" w:space="0"/>
              <w:left w:val="single" w:color="auto" w:sz="4" w:space="0"/>
              <w:bottom w:val="single" w:color="auto" w:sz="4" w:space="0"/>
              <w:right w:val="single" w:color="auto" w:sz="4" w:space="0"/>
            </w:tcBorders>
          </w:tcPr>
          <w:p>
            <w:pPr>
              <w:pStyle w:val="25"/>
            </w:pPr>
          </w:p>
        </w:tc>
        <w:tc>
          <w:tcPr>
            <w:tcW w:w="1235" w:type="dxa"/>
            <w:tcBorders>
              <w:top w:val="single" w:color="auto" w:sz="4" w:space="0"/>
              <w:left w:val="single" w:color="auto" w:sz="4" w:space="0"/>
              <w:bottom w:val="single" w:color="auto" w:sz="4" w:space="0"/>
              <w:right w:val="single" w:color="auto" w:sz="4" w:space="0"/>
            </w:tcBorders>
          </w:tcPr>
          <w:p>
            <w:pPr>
              <w:pStyle w:val="25"/>
            </w:pPr>
          </w:p>
        </w:tc>
        <w:tc>
          <w:tcPr>
            <w:tcW w:w="2101" w:type="dxa"/>
            <w:tcBorders>
              <w:top w:val="single" w:color="auto" w:sz="4" w:space="0"/>
              <w:left w:val="single" w:color="auto" w:sz="4" w:space="0"/>
              <w:bottom w:val="single" w:color="auto" w:sz="4" w:space="0"/>
              <w:right w:val="single" w:color="auto" w:sz="4" w:space="0"/>
            </w:tcBorders>
          </w:tcPr>
          <w:p>
            <w:pPr>
              <w:pStyle w:val="25"/>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rPr>
          <w:rFonts w:hint="default" w:eastAsia="宋体"/>
          <w:lang w:val="en-US" w:eastAsia="zh-CN"/>
        </w:rPr>
      </w:pPr>
      <w:r>
        <w:rPr>
          <w:rFonts w:hint="eastAsia" w:eastAsia="宋体"/>
          <w:lang w:val="en-US" w:eastAsia="zh-CN"/>
        </w:rPr>
        <w:t>Pengtai Qin, China Mobile, qinpengtai@chinamobile.com</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3"/>
        <w:rPr>
          <w:i w:val="0"/>
          <w:iCs/>
        </w:rPr>
      </w:pPr>
      <w:r>
        <w:rPr>
          <w:i w:val="0"/>
          <w:iCs/>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r>
        <w:rPr>
          <w:i w:val="0"/>
          <w:iCs/>
        </w:rPr>
        <w:t>None identified yet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3"/>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ins w:id="19" w:author="CMCC01" w:date="2024-08-20T20:03:20Z">
              <w:r>
                <w:rPr>
                  <w:rFonts w:hint="eastAsia" w:eastAsia="宋体"/>
                  <w:lang w:val="en-US" w:eastAsia="zh-CN"/>
                </w:rPr>
                <w:t>China</w:t>
              </w:r>
            </w:ins>
            <w:ins w:id="20" w:author="CMCC01" w:date="2024-08-20T20:03:21Z">
              <w:r>
                <w:rPr>
                  <w:rFonts w:hint="eastAsia" w:eastAsia="宋体"/>
                  <w:lang w:val="en-US" w:eastAsia="zh-CN"/>
                </w:rPr>
                <w:t xml:space="preserve"> </w:t>
              </w:r>
            </w:ins>
            <w:ins w:id="21" w:author="CMCC01" w:date="2024-08-20T20:03:24Z">
              <w:r>
                <w:rPr>
                  <w:rFonts w:hint="eastAsia" w:eastAsia="宋体"/>
                  <w:lang w:val="en-US" w:eastAsia="zh-CN"/>
                </w:rPr>
                <w:t>Telecom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ins w:id="22" w:author="CMCC01" w:date="2024-08-22T19:04:40Z">
              <w:r>
                <w:rPr>
                  <w:rFonts w:hint="eastAsia" w:eastAsia="宋体"/>
                  <w:lang w:val="en-US" w:eastAsia="zh-CN"/>
                </w:rPr>
                <w:t>H</w:t>
              </w:r>
            </w:ins>
            <w:ins w:id="23" w:author="CMCC01" w:date="2024-08-22T19:04:42Z">
              <w:r>
                <w:rPr>
                  <w:rFonts w:hint="eastAsia" w:eastAsia="宋体"/>
                  <w:lang w:val="en-US" w:eastAsia="zh-CN"/>
                </w:rPr>
                <w:t>u</w:t>
              </w:r>
            </w:ins>
            <w:ins w:id="24" w:author="CMCC01" w:date="2024-08-22T19:04:44Z">
              <w:r>
                <w:rPr>
                  <w:rFonts w:hint="eastAsia" w:eastAsia="宋体"/>
                  <w:lang w:val="en-US" w:eastAsia="zh-CN"/>
                </w:rPr>
                <w:t>awe</w:t>
              </w:r>
            </w:ins>
            <w:ins w:id="25" w:author="CMCC01" w:date="2024-08-22T19:04:45Z">
              <w:r>
                <w:rPr>
                  <w:rFonts w:hint="eastAsia" w:eastAsia="宋体"/>
                  <w:lang w:val="en-US" w:eastAsia="zh-CN"/>
                </w:rPr>
                <w: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jc w:val="center"/>
        </w:trPr>
        <w:tc>
          <w:tcPr>
            <w:tcW w:w="5029" w:type="dxa"/>
            <w:shd w:val="clear" w:color="auto" w:fill="auto"/>
            <w:vAlign w:val="top"/>
          </w:tcPr>
          <w:p>
            <w:pPr>
              <w:pStyle w:val="25"/>
              <w:rPr>
                <w:rFonts w:hint="default" w:eastAsia="宋体"/>
                <w:lang w:val="en-US" w:eastAsia="zh-CN"/>
              </w:rPr>
            </w:pPr>
            <w:ins w:id="26" w:author="CMCC01" w:date="2024-08-22T19:04:54Z">
              <w:r>
                <w:rPr>
                  <w:rFonts w:hint="eastAsia" w:eastAsia="宋体"/>
                  <w:lang w:val="en-US" w:eastAsia="zh-CN"/>
                </w:rPr>
                <w:t>Z</w:t>
              </w:r>
            </w:ins>
            <w:ins w:id="27" w:author="CMCC01" w:date="2024-08-22T19:04:55Z">
              <w:r>
                <w:rPr>
                  <w:rFonts w:hint="eastAsia" w:eastAsia="宋体"/>
                  <w:lang w:val="en-US" w:eastAsia="zh-CN"/>
                </w:rPr>
                <w:t>T</w:t>
              </w:r>
            </w:ins>
            <w:ins w:id="28" w:author="CMCC01" w:date="2024-08-22T19:04:57Z">
              <w:r>
                <w:rPr>
                  <w:rFonts w:hint="eastAsia" w:eastAsia="宋体"/>
                  <w:lang w:val="en-US" w:eastAsia="zh-CN"/>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5"/>
              <w:rPr>
                <w:rFonts w:hint="default" w:eastAsia="宋体"/>
                <w:lang w:val="en-US" w:eastAsia="zh-CN"/>
              </w:rPr>
            </w:pPr>
            <w:ins w:id="29" w:author="CMCC01" w:date="2024-08-22T19:05:24Z">
              <w:r>
                <w:rPr>
                  <w:rFonts w:hint="eastAsia" w:eastAsia="宋体"/>
                  <w:lang w:val="en-US" w:eastAsia="zh-CN"/>
                </w:rPr>
                <w:t>ISSDU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eastAsia" w:eastAsia="宋体"/>
                <w:lang w:val="en-US" w:eastAsia="zh-CN"/>
              </w:rPr>
            </w:pPr>
            <w:ins w:id="30" w:author="CMCC01" w:date="2024-08-22T19:08:38Z">
              <w:r>
                <w:rPr>
                  <w:rFonts w:hint="eastAsia" w:eastAsia="宋体"/>
                  <w:lang w:val="en-US" w:eastAsia="zh-CN"/>
                </w:rPr>
                <w:t>Hytera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 w:author="CMCC01" w:date="2024-08-22T19:08:33Z"/>
        </w:trPr>
        <w:tc>
          <w:tcPr>
            <w:tcW w:w="5029" w:type="dxa"/>
            <w:shd w:val="clear" w:color="auto" w:fill="auto"/>
          </w:tcPr>
          <w:p>
            <w:pPr>
              <w:pStyle w:val="25"/>
              <w:rPr>
                <w:ins w:id="32" w:author="CMCC01" w:date="2024-08-22T19:08:33Z"/>
              </w:rPr>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A3FA3"/>
    <w:multiLevelType w:val="multilevel"/>
    <w:tmpl w:val="1E9A3FA3"/>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2D7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D37BC5"/>
    <w:rsid w:val="025A7AAC"/>
    <w:rsid w:val="03A03184"/>
    <w:rsid w:val="03F133CD"/>
    <w:rsid w:val="042D0B14"/>
    <w:rsid w:val="07515103"/>
    <w:rsid w:val="0B1A381C"/>
    <w:rsid w:val="0BD25EA5"/>
    <w:rsid w:val="0DC80FB8"/>
    <w:rsid w:val="11AD363C"/>
    <w:rsid w:val="11C24C0D"/>
    <w:rsid w:val="11F837A7"/>
    <w:rsid w:val="13347445"/>
    <w:rsid w:val="1DFF667C"/>
    <w:rsid w:val="1E041AD4"/>
    <w:rsid w:val="1F1545CE"/>
    <w:rsid w:val="203A2B8B"/>
    <w:rsid w:val="21ED0C2D"/>
    <w:rsid w:val="22CE3412"/>
    <w:rsid w:val="257849EA"/>
    <w:rsid w:val="26CD578F"/>
    <w:rsid w:val="270517D9"/>
    <w:rsid w:val="28063D45"/>
    <w:rsid w:val="37D97E9B"/>
    <w:rsid w:val="394D2895"/>
    <w:rsid w:val="39D705A4"/>
    <w:rsid w:val="3A1A5C49"/>
    <w:rsid w:val="3BCD4613"/>
    <w:rsid w:val="3C736EF3"/>
    <w:rsid w:val="3D8E308F"/>
    <w:rsid w:val="4161631F"/>
    <w:rsid w:val="46ED230A"/>
    <w:rsid w:val="47C76193"/>
    <w:rsid w:val="491E7355"/>
    <w:rsid w:val="493C55C5"/>
    <w:rsid w:val="4D7F0A75"/>
    <w:rsid w:val="4F1256B3"/>
    <w:rsid w:val="4F781E8C"/>
    <w:rsid w:val="4F794012"/>
    <w:rsid w:val="51CB31E4"/>
    <w:rsid w:val="557D6C0C"/>
    <w:rsid w:val="58CF0A97"/>
    <w:rsid w:val="5A6E45B7"/>
    <w:rsid w:val="5C16751F"/>
    <w:rsid w:val="60FD6E6F"/>
    <w:rsid w:val="611F43D1"/>
    <w:rsid w:val="6435293E"/>
    <w:rsid w:val="6A9260A0"/>
    <w:rsid w:val="6ABC4ECB"/>
    <w:rsid w:val="6D7F76FD"/>
    <w:rsid w:val="6EA75B03"/>
    <w:rsid w:val="72572972"/>
    <w:rsid w:val="757C5983"/>
    <w:rsid w:val="7E596542"/>
    <w:rsid w:val="7F5259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
    <w:hidden/>
    <w:semiHidden/>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854</Words>
  <Characters>4619</Characters>
  <Lines>25</Lines>
  <Paragraphs>7</Paragraphs>
  <TotalTime>1</TotalTime>
  <ScaleCrop>false</ScaleCrop>
  <LinksUpToDate>false</LinksUpToDate>
  <CharactersWithSpaces>5387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CMCC01</cp:lastModifiedBy>
  <cp:lastPrinted>2001-04-23T09:30:00Z</cp:lastPrinted>
  <dcterms:modified xsi:type="dcterms:W3CDTF">2024-08-22T16:18:12Z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8A8EAA5A4C554AB2B0C9752D25DDFBEF_13</vt:lpwstr>
  </property>
</Properties>
</file>